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TERMO DE REFERÊNCIA</w:t>
      </w:r>
    </w:p>
    <w:p>
      <w:pPr>
        <w:pStyle w:val="10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OBJETO</w:t>
      </w:r>
    </w:p>
    <w:p>
      <w:pPr>
        <w:pStyle w:val="16"/>
        <w:spacing w:after="0" w:line="360" w:lineRule="auto"/>
        <w:ind w:left="0" w:firstLine="708" w:firstLineChars="0"/>
        <w:jc w:val="both"/>
        <w:rPr>
          <w:rFonts w:hint="default" w:ascii="Arial" w:hAnsi="Arial" w:cs="Arial"/>
          <w:b w:val="0"/>
          <w:bCs w:val="0"/>
          <w:sz w:val="24"/>
          <w:szCs w:val="24"/>
          <w:lang w:val="pt-BR"/>
        </w:rPr>
      </w:pPr>
      <w:r>
        <w:rPr>
          <w:rFonts w:ascii="Arial" w:hAnsi="Arial" w:eastAsia="LiberationSerif-Bold" w:cs="Arial"/>
          <w:bCs/>
          <w:sz w:val="24"/>
          <w:szCs w:val="24"/>
        </w:rPr>
        <w:t>Contratação de Empresa Especializada para</w:t>
      </w:r>
      <w:r>
        <w:rPr>
          <w:rFonts w:hint="default" w:ascii="Arial" w:hAnsi="Arial" w:eastAsia="LiberationSerif-Bold" w:cs="Arial"/>
          <w:bCs/>
          <w:sz w:val="24"/>
          <w:szCs w:val="24"/>
          <w:lang w:val="pt-BR"/>
        </w:rPr>
        <w:t xml:space="preserve"> a</w:t>
      </w:r>
      <w:r>
        <w:rPr>
          <w:rFonts w:ascii="Arial" w:hAnsi="Arial" w:eastAsia="LiberationSerif-Bold" w:cs="Arial"/>
          <w:bCs/>
          <w:sz w:val="24"/>
          <w:szCs w:val="24"/>
        </w:rPr>
        <w:t xml:space="preserve"> </w:t>
      </w:r>
      <w:r>
        <w:rPr>
          <w:rFonts w:hint="default" w:ascii="Arial" w:hAnsi="Arial" w:eastAsia="LiberationSerif-Bold" w:cs="Arial"/>
          <w:bCs/>
          <w:sz w:val="24"/>
          <w:szCs w:val="24"/>
          <w:lang w:val="pt-BR"/>
        </w:rPr>
        <w:t>P</w:t>
      </w:r>
      <w:r>
        <w:rPr>
          <w:rFonts w:hint="default" w:ascii="Arial" w:hAnsi="Arial" w:cs="Arial"/>
          <w:b w:val="0"/>
          <w:bCs w:val="0"/>
          <w:sz w:val="24"/>
          <w:szCs w:val="24"/>
          <w:lang w:val="pt-BR"/>
        </w:rPr>
        <w:t>avimentação e Implantação de Sistema de Drenagem de rua vicinal na localidade de Vila Peter - Caramuru, Santa Maria de Jetibá.</w:t>
      </w:r>
    </w:p>
    <w:p>
      <w:pPr>
        <w:pStyle w:val="10"/>
        <w:spacing w:after="0" w:line="360" w:lineRule="auto"/>
        <w:ind w:left="0"/>
        <w:jc w:val="both"/>
        <w:rPr>
          <w:rFonts w:hint="default" w:ascii="Arial" w:hAnsi="Arial" w:cs="Arial"/>
          <w:sz w:val="24"/>
          <w:szCs w:val="24"/>
          <w:lang w:val="en-US" w:eastAsia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b/>
          <w:sz w:val="24"/>
          <w:szCs w:val="24"/>
        </w:rPr>
        <w:t>JUSTIFICATIVA</w:t>
      </w: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eastAsia="LiberationSerif-Bold" w:cs="Arial"/>
          <w:b w:val="0"/>
          <w:bCs/>
          <w:color w:val="auto"/>
          <w:sz w:val="24"/>
          <w:szCs w:val="24"/>
          <w:highlight w:val="none"/>
          <w:lang w:val="pt-BR"/>
        </w:rPr>
      </w:pPr>
      <w:r>
        <w:rPr>
          <w:rFonts w:hint="default" w:ascii="Arial" w:hAnsi="Arial" w:cs="Arial"/>
          <w:sz w:val="24"/>
          <w:szCs w:val="24"/>
          <w:lang w:val="pt-BR" w:eastAsia="pt-BR"/>
        </w:rPr>
        <w:t>2.1 -</w:t>
      </w:r>
      <w:r>
        <w:rPr>
          <w:rFonts w:hint="default" w:ascii="Arial" w:hAnsi="Arial" w:cs="Arial"/>
          <w:sz w:val="24"/>
          <w:szCs w:val="24"/>
          <w:lang w:val="en-US" w:eastAsia="pt-BR"/>
        </w:rPr>
        <w:t xml:space="preserve"> </w:t>
      </w:r>
      <w:r>
        <w:rPr>
          <w:rFonts w:hint="default" w:ascii="Arial" w:hAnsi="Arial" w:eastAsia="LiberationSerif-Bold" w:cs="Arial"/>
          <w:b w:val="0"/>
          <w:bCs/>
          <w:color w:val="auto"/>
          <w:sz w:val="24"/>
          <w:szCs w:val="24"/>
          <w:highlight w:val="none"/>
          <w:lang w:val="pt-BR"/>
        </w:rPr>
        <w:t>Esta obra beneficiará diretamente ao menos quinze edificações, entre comerciais e residenciais, solucionará o problema de danificação da estrada de terra ali existente, além da melhor circulação de veículos que transportam as mercadorias produzidas na região.</w:t>
      </w:r>
    </w:p>
    <w:p>
      <w:pPr>
        <w:pStyle w:val="16"/>
        <w:spacing w:after="0" w:line="360" w:lineRule="auto"/>
        <w:ind w:left="0" w:leftChars="0" w:firstLine="480" w:firstLineChars="200"/>
        <w:jc w:val="both"/>
        <w:rPr>
          <w:rFonts w:hint="default" w:ascii="Arial" w:hAnsi="Arial" w:cs="Arial"/>
          <w:b w:val="0"/>
          <w:bCs w:val="0"/>
          <w:sz w:val="24"/>
          <w:szCs w:val="24"/>
          <w:lang w:val="pt-BR" w:eastAsia="pt-BR"/>
        </w:rPr>
      </w:pPr>
      <w:r>
        <w:rPr>
          <w:rFonts w:hint="default" w:ascii="Arial" w:hAnsi="Arial" w:eastAsia="LiberationSerif-Bold" w:cs="Arial"/>
          <w:b w:val="0"/>
          <w:bCs/>
          <w:color w:val="auto"/>
          <w:sz w:val="24"/>
          <w:szCs w:val="24"/>
          <w:highlight w:val="none"/>
          <w:lang w:val="pt-BR"/>
        </w:rPr>
        <w:t xml:space="preserve">O sistema de drenagem da rua deverá ser implantado, para que a pavimentação não sofra com ações de intemperes, além da alta demanda de caminhões e carros que ali circulam, evitando assim o acúmulo de água e </w:t>
      </w:r>
      <w:r>
        <w:rPr>
          <w:rFonts w:hint="default" w:ascii="Arial" w:hAnsi="Arial" w:cs="Arial"/>
          <w:b w:val="0"/>
          <w:bCs w:val="0"/>
          <w:sz w:val="24"/>
          <w:szCs w:val="24"/>
          <w:lang w:val="pt-BR" w:eastAsia="pt-BR"/>
        </w:rPr>
        <w:t>demais danos.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/>
        </w:rPr>
      </w:pP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/>
        </w:rPr>
      </w:pPr>
      <w:r>
        <w:rPr>
          <w:rFonts w:hint="default" w:ascii="Arial" w:hAnsi="Arial" w:cs="Arial"/>
          <w:sz w:val="24"/>
          <w:szCs w:val="24"/>
          <w:lang w:val="pt-BR" w:eastAsia="pt-BR"/>
        </w:rPr>
        <w:t xml:space="preserve">2.2 - Esta contratação tem como premissa fornecer os elementos necessários à implantação das obras de drenagem e pavimentação </w:t>
      </w:r>
      <w:r>
        <w:rPr>
          <w:rFonts w:hint="default" w:ascii="Arial" w:hAnsi="Arial" w:cs="Arial"/>
          <w:sz w:val="24"/>
          <w:szCs w:val="24"/>
          <w:lang w:val="en-US" w:eastAsia="pt-BR"/>
        </w:rPr>
        <w:t>do trecho abaixo</w:t>
      </w:r>
      <w:r>
        <w:rPr>
          <w:rFonts w:hint="default" w:ascii="Arial" w:hAnsi="Arial" w:cs="Arial"/>
          <w:sz w:val="24"/>
          <w:szCs w:val="24"/>
          <w:lang w:val="pt-BR" w:eastAsia="pt-BR"/>
        </w:rPr>
        <w:t>.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/>
        </w:rPr>
      </w:pPr>
    </w:p>
    <w:tbl>
      <w:tblPr>
        <w:tblStyle w:val="9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0"/>
        <w:gridCol w:w="4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vertAlign w:val="baseline"/>
                <w:lang w:val="en-US" w:eastAsia="pt-B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 w:eastAsia="pt-BR"/>
              </w:rPr>
              <w:t>TRECHO</w:t>
            </w:r>
          </w:p>
        </w:tc>
        <w:tc>
          <w:tcPr>
            <w:tcW w:w="4360" w:type="dxa"/>
            <w:vAlign w:val="bottom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vertAlign w:val="baseline"/>
                <w:lang w:val="en-US" w:eastAsia="pt-B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vertAlign w:val="baseline"/>
                <w:lang w:val="en-US" w:eastAsia="pt-BR"/>
              </w:rPr>
              <w:t>DISTÂNCIA(km)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360" w:type="dxa"/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both"/>
              <w:textAlignment w:val="center"/>
              <w:rPr>
                <w:rFonts w:hint="default" w:ascii="Arial" w:hAnsi="Arial" w:eastAsia="SimSun" w:cs="Arial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pt-BR" w:eastAsia="zh-CN" w:bidi="ar"/>
              </w:rPr>
            </w:pPr>
            <w:r>
              <w:rPr>
                <w:rFonts w:hint="default" w:ascii="Times New Roman" w:hAnsi="Times New Roman" w:eastAsia="SimSun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pt-BR" w:eastAsia="zh-CN" w:bidi="ar"/>
              </w:rPr>
              <w:t>Vila Peter - Caramuru</w:t>
            </w:r>
          </w:p>
        </w:tc>
        <w:tc>
          <w:tcPr>
            <w:tcW w:w="4360" w:type="dxa"/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SimSun" w:cs="Calibri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pt-BR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pt-BR" w:eastAsia="zh-CN" w:bidi="ar"/>
              </w:rPr>
              <w:t>0,215</w:t>
            </w:r>
          </w:p>
        </w:tc>
      </w:tr>
    </w:tbl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PRAZO DE EXECUÇÃO</w:t>
      </w:r>
    </w:p>
    <w:p>
      <w:pPr>
        <w:spacing w:after="0" w:line="360" w:lineRule="auto"/>
        <w:ind w:firstLine="708" w:firstLine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contrato deverá ser pactuado com prazo de </w:t>
      </w:r>
      <w:r>
        <w:rPr>
          <w:rFonts w:hint="default" w:ascii="Arial" w:hAnsi="Arial" w:cs="Arial"/>
          <w:sz w:val="24"/>
          <w:szCs w:val="24"/>
          <w:lang w:val="pt-BR"/>
        </w:rPr>
        <w:t xml:space="preserve">cento e oitenta </w:t>
      </w:r>
      <w:r>
        <w:rPr>
          <w:rFonts w:ascii="Arial" w:hAnsi="Arial" w:cs="Arial"/>
          <w:sz w:val="24"/>
          <w:szCs w:val="24"/>
        </w:rPr>
        <w:t>dias (</w:t>
      </w:r>
      <w:r>
        <w:rPr>
          <w:rFonts w:hint="default" w:ascii="Arial" w:hAnsi="Arial" w:cs="Arial"/>
          <w:sz w:val="24"/>
          <w:szCs w:val="24"/>
          <w:lang w:val="pt-BR"/>
        </w:rPr>
        <w:t>180</w:t>
      </w:r>
      <w:r>
        <w:rPr>
          <w:rFonts w:ascii="Arial" w:hAnsi="Arial" w:cs="Arial"/>
          <w:sz w:val="24"/>
          <w:szCs w:val="24"/>
        </w:rPr>
        <w:t xml:space="preserve">) contados a partir de sua assinatura. </w:t>
      </w:r>
    </w:p>
    <w:p>
      <w:pPr>
        <w:spacing w:after="0" w:line="360" w:lineRule="auto"/>
        <w:ind w:firstLine="708" w:firstLine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execução terá prazo de até </w:t>
      </w:r>
      <w:r>
        <w:rPr>
          <w:rFonts w:hint="default" w:ascii="Arial" w:hAnsi="Arial" w:cs="Arial"/>
          <w:sz w:val="24"/>
          <w:szCs w:val="24"/>
          <w:lang w:val="pt-BR"/>
        </w:rPr>
        <w:t xml:space="preserve">cento e vinte </w:t>
      </w:r>
      <w:r>
        <w:rPr>
          <w:rFonts w:ascii="Arial" w:hAnsi="Arial" w:cs="Arial"/>
          <w:sz w:val="24"/>
          <w:szCs w:val="24"/>
        </w:rPr>
        <w:t>dias (</w:t>
      </w:r>
      <w:r>
        <w:rPr>
          <w:rFonts w:hint="default" w:ascii="Arial" w:hAnsi="Arial" w:cs="Arial"/>
          <w:sz w:val="24"/>
          <w:szCs w:val="24"/>
          <w:lang w:val="pt-BR"/>
        </w:rPr>
        <w:t>120</w:t>
      </w:r>
      <w:r>
        <w:rPr>
          <w:rFonts w:ascii="Arial" w:hAnsi="Arial" w:cs="Arial"/>
          <w:sz w:val="24"/>
          <w:szCs w:val="24"/>
        </w:rPr>
        <w:t>) contados a partir da data da assinatura da ordem de serviço, conforme cronograma em anexo, podendo ser prorrogado, nos termos da Lei 8.666/93.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VALOR DOS SERVIÇOS</w:t>
      </w:r>
    </w:p>
    <w:p>
      <w:pPr>
        <w:spacing w:after="0" w:line="360" w:lineRule="auto"/>
        <w:ind w:firstLine="708" w:firstLineChars="0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 xml:space="preserve">O valor total estimado é de </w:t>
      </w:r>
      <w:r>
        <w:rPr>
          <w:rFonts w:ascii="Arial" w:hAnsi="Arial" w:cs="Arial"/>
          <w:sz w:val="24"/>
          <w:szCs w:val="24"/>
          <w:lang w:eastAsia="zh-CN"/>
        </w:rPr>
        <w:t>R$</w:t>
      </w:r>
      <w:r>
        <w:rPr>
          <w:rFonts w:hint="default" w:ascii="Arial" w:hAnsi="Arial" w:cs="Arial"/>
          <w:sz w:val="24"/>
          <w:szCs w:val="24"/>
          <w:lang w:val="pt-BR" w:eastAsia="zh-CN"/>
        </w:rPr>
        <w:t xml:space="preserve"> </w:t>
      </w:r>
      <w:r>
        <w:rPr>
          <w:rFonts w:hint="default" w:ascii="Arial" w:hAnsi="Arial" w:eastAsia="LiberationSerif-Bold"/>
          <w:b w:val="0"/>
          <w:bCs/>
          <w:color w:val="auto"/>
          <w:sz w:val="24"/>
          <w:szCs w:val="24"/>
          <w:highlight w:val="none"/>
          <w:lang w:val="pt-BR"/>
        </w:rPr>
        <w:t xml:space="preserve">237.679,15 </w:t>
      </w:r>
      <w:r>
        <w:rPr>
          <w:rFonts w:hint="default" w:ascii="Arial" w:hAnsi="Arial" w:eastAsia="LiberationSerif-Bold" w:cs="Arial"/>
          <w:b w:val="0"/>
          <w:bCs/>
          <w:color w:val="auto"/>
          <w:sz w:val="24"/>
          <w:szCs w:val="24"/>
          <w:highlight w:val="none"/>
          <w:lang w:val="pt-BR"/>
        </w:rPr>
        <w:t>(duzentos e trinta e sete mil, seiscentos e setenta e nove reais e quinze centavos)</w:t>
      </w:r>
      <w:r>
        <w:rPr>
          <w:rFonts w:ascii="Arial" w:hAnsi="Arial" w:cs="Arial"/>
          <w:sz w:val="24"/>
          <w:szCs w:val="24"/>
          <w:lang w:eastAsia="pt-BR"/>
        </w:rPr>
        <w:t>, conforme indicado na Planilha Orçamentária integrante do ETP (Estudo Técnico Preliminar).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pt-BR"/>
        </w:rPr>
      </w:pPr>
    </w:p>
    <w:p>
      <w:pPr>
        <w:pStyle w:val="16"/>
        <w:spacing w:after="0" w:line="360" w:lineRule="auto"/>
        <w:ind w:left="0" w:firstLine="708" w:firstLineChars="0"/>
        <w:jc w:val="both"/>
        <w:rPr>
          <w:rFonts w:hint="default" w:ascii="Arial" w:hAnsi="Arial"/>
          <w:sz w:val="24"/>
          <w:szCs w:val="24"/>
          <w:highlight w:val="none"/>
          <w:lang w:val="en-US" w:eastAsia="pt-BR"/>
        </w:rPr>
      </w:pPr>
      <w:r>
        <w:rPr>
          <w:rFonts w:ascii="Arial" w:hAnsi="Arial" w:cs="Arial"/>
          <w:sz w:val="24"/>
          <w:szCs w:val="24"/>
          <w:lang w:eastAsia="pt-BR"/>
        </w:rPr>
        <w:t>Para a composição dos preços unitários, foi utilizad</w:t>
      </w:r>
      <w:r>
        <w:rPr>
          <w:rFonts w:hint="default" w:ascii="Arial" w:hAnsi="Arial" w:cs="Arial"/>
          <w:sz w:val="24"/>
          <w:szCs w:val="24"/>
          <w:lang w:val="en-US" w:eastAsia="pt-BR"/>
        </w:rPr>
        <w:t>o</w:t>
      </w:r>
      <w:r>
        <w:rPr>
          <w:rFonts w:ascii="Arial" w:hAnsi="Arial" w:cs="Arial"/>
          <w:sz w:val="24"/>
          <w:szCs w:val="24"/>
          <w:lang w:eastAsia="pt-BR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pt-BR"/>
        </w:rPr>
        <w:t>o</w:t>
      </w:r>
      <w:r>
        <w:rPr>
          <w:rFonts w:ascii="Arial" w:hAnsi="Arial" w:cs="Arial"/>
          <w:sz w:val="24"/>
          <w:szCs w:val="24"/>
          <w:lang w:eastAsia="pt-BR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pt-BR"/>
        </w:rPr>
        <w:t>referencial IOPES 01/2022,</w:t>
      </w:r>
      <w:r>
        <w:rPr>
          <w:rFonts w:ascii="Arial" w:hAnsi="Arial" w:cs="Arial"/>
          <w:sz w:val="24"/>
          <w:szCs w:val="24"/>
          <w:lang w:eastAsia="pt-BR"/>
        </w:rPr>
        <w:t xml:space="preserve"> 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highlight w:val="none"/>
          <w:lang w:val="pt-BR"/>
        </w:rPr>
        <w:t>c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om desoneração</w:t>
      </w:r>
      <w:r>
        <w:rPr>
          <w:rFonts w:ascii="Arial" w:hAnsi="Arial" w:cs="Arial"/>
          <w:sz w:val="24"/>
          <w:szCs w:val="24"/>
          <w:highlight w:val="none"/>
          <w:lang w:eastAsia="pt-BR"/>
        </w:rPr>
        <w:t xml:space="preserve">, BDI de </w:t>
      </w:r>
      <w:r>
        <w:rPr>
          <w:rFonts w:hint="default" w:ascii="Arial" w:hAnsi="Arial" w:cs="Arial"/>
          <w:sz w:val="24"/>
          <w:szCs w:val="24"/>
          <w:highlight w:val="none"/>
          <w:lang w:val="en-US" w:eastAsia="pt-BR"/>
        </w:rPr>
        <w:t>29,63</w:t>
      </w:r>
      <w:r>
        <w:rPr>
          <w:rFonts w:ascii="Arial" w:hAnsi="Arial" w:cs="Arial"/>
          <w:sz w:val="24"/>
          <w:szCs w:val="24"/>
          <w:highlight w:val="none"/>
          <w:lang w:eastAsia="pt-BR"/>
        </w:rPr>
        <w:t>%</w:t>
      </w:r>
      <w:r>
        <w:rPr>
          <w:rFonts w:hint="default" w:ascii="Arial" w:hAnsi="Arial" w:cs="Arial"/>
          <w:sz w:val="24"/>
          <w:szCs w:val="24"/>
          <w:highlight w:val="none"/>
          <w:lang w:val="en-US" w:eastAsia="pt-BR"/>
        </w:rPr>
        <w:t>,</w:t>
      </w:r>
      <w:r>
        <w:rPr>
          <w:rFonts w:ascii="Arial" w:hAnsi="Arial" w:cs="Arial"/>
          <w:sz w:val="24"/>
          <w:szCs w:val="24"/>
          <w:highlight w:val="none"/>
          <w:lang w:eastAsia="pt-BR"/>
        </w:rPr>
        <w:t xml:space="preserve"> 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highlight w:val="none"/>
          <w:lang w:val="pt-BR"/>
        </w:rPr>
        <w:t xml:space="preserve">do DER-ES (Edificações) junho de 2021 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.</w:t>
      </w:r>
    </w:p>
    <w:p>
      <w:pPr>
        <w:spacing w:after="0" w:line="360" w:lineRule="auto"/>
        <w:jc w:val="both"/>
        <w:rPr>
          <w:rFonts w:ascii="Arial" w:hAnsi="Arial" w:eastAsia="Calibri" w:cs="Arial"/>
          <w:sz w:val="24"/>
          <w:szCs w:val="24"/>
          <w:lang w:val="pt-BR" w:eastAsia="pt-BR" w:bidi="ar-SA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 FONTE DE RECURSOS E DA DOTAÇÃO ORÇAMENTÁRIA</w:t>
      </w:r>
    </w:p>
    <w:p>
      <w:pPr>
        <w:pStyle w:val="16"/>
        <w:spacing w:after="0" w:line="360" w:lineRule="auto"/>
        <w:ind w:left="0" w:firstLine="708" w:firstLineChars="0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hint="default" w:ascii="Arial" w:hAnsi="Arial"/>
          <w:sz w:val="24"/>
          <w:szCs w:val="24"/>
          <w:lang w:val="pt-BR"/>
        </w:rPr>
        <w:t>A ser definida pela Secretaria Solicitante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hint="default" w:ascii="Arial" w:hAnsi="Arial" w:cs="Arial"/>
          <w:sz w:val="24"/>
          <w:szCs w:val="24"/>
          <w:lang w:val="pt-BR"/>
        </w:rPr>
        <w:t xml:space="preserve">                                                                                                                                                                     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 QUALIFICAÇÃO TÉCNICA</w:t>
      </w:r>
      <w:r>
        <w:t xml:space="preserve">: </w:t>
      </w:r>
    </w:p>
    <w:p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– Registro ou inscrição da empresa no Conselho Regional de Engenharia, Arquitetura e Agronomia – CREA, com jurisdição sobre o domicílio da sede da licitante; </w:t>
      </w:r>
    </w:p>
    <w:p>
      <w:pPr>
        <w:numPr>
          <w:ilvl w:val="0"/>
          <w:numId w:val="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– Comprovante de regularidade fiscal </w:t>
      </w:r>
      <w:r>
        <w:rPr>
          <w:rFonts w:hint="default" w:ascii="Arial" w:hAnsi="Arial" w:cs="Arial"/>
          <w:sz w:val="24"/>
          <w:szCs w:val="24"/>
          <w:lang w:val="pt-BR"/>
        </w:rPr>
        <w:t xml:space="preserve">e </w:t>
      </w:r>
      <w:r>
        <w:rPr>
          <w:rFonts w:ascii="Arial" w:hAnsi="Arial" w:cs="Arial"/>
          <w:sz w:val="24"/>
          <w:szCs w:val="24"/>
        </w:rPr>
        <w:t>trabalhista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– Capacitação técnico-profissional</w:t>
      </w:r>
      <w:r>
        <w:rPr>
          <w:rFonts w:ascii="Arial" w:hAnsi="Arial" w:cs="Arial"/>
          <w:sz w:val="24"/>
          <w:szCs w:val="24"/>
          <w:lang w:val="pt-BR"/>
        </w:rPr>
        <w:t>:</w:t>
      </w:r>
    </w:p>
    <w:p>
      <w:pPr>
        <w:numPr>
          <w:ilvl w:val="0"/>
          <w:numId w:val="0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t-BR"/>
        </w:rPr>
        <w:t>c.1</w:t>
      </w:r>
      <w:r>
        <w:rPr>
          <w:rFonts w:ascii="Arial" w:hAnsi="Arial" w:cs="Arial"/>
          <w:sz w:val="24"/>
          <w:szCs w:val="24"/>
        </w:rPr>
        <w:t xml:space="preserve">) Registro ou Inscrição do responsável técnico indicado no Conselho Regional de Engenharia, Agronomia e Arquitetura – CREA da região da sede da empresa ou outra entidade profissional competente do profissional de nível superior. 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c.2</w:t>
      </w:r>
      <w:r>
        <w:rPr>
          <w:rFonts w:ascii="Arial" w:hAnsi="Arial" w:cs="Arial"/>
          <w:sz w:val="24"/>
          <w:szCs w:val="24"/>
        </w:rPr>
        <w:t>) Comprovação de que o licitante possui em seu quadro, profissional devidamente reconhecido pelo CREA, de nível superior, e que seja detentor de no mínimo 1 (uma) Certidão de Acervo Técnico por execução de serviços/obras de características semelhantes deste Edital</w:t>
      </w:r>
      <w:r>
        <w:rPr>
          <w:rFonts w:hint="default" w:ascii="Arial" w:hAnsi="Arial" w:cs="Arial"/>
          <w:sz w:val="24"/>
          <w:szCs w:val="24"/>
          <w:lang w:val="pt-BR"/>
        </w:rPr>
        <w:t>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t-BR"/>
        </w:rPr>
        <w:t>c.3</w:t>
      </w:r>
      <w:r>
        <w:rPr>
          <w:rFonts w:ascii="Arial" w:hAnsi="Arial" w:cs="Arial"/>
          <w:sz w:val="24"/>
          <w:szCs w:val="24"/>
        </w:rPr>
        <w:t xml:space="preserve">) O responsável técnico indicado poderá ocupar a posição de diretor, sócio ou integrar o quadro permanente do licitante na condição de empregado ou de prestador de serviços, devendo ser comprovada sua vinculação com o licitante, até a data da apresentação dos documentos de habilitação, por meio de carteira de trabalho e previdência social (CTPS), contrato de prestação de serviços, ficha de registro de empregado ou contrato social, conforme o caso. 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</w:rPr>
      </w:pP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t-BR"/>
        </w:rPr>
        <w:t>c.</w:t>
      </w:r>
      <w:r>
        <w:rPr>
          <w:rFonts w:hint="default" w:ascii="Arial" w:hAnsi="Arial" w:cs="Arial"/>
          <w:sz w:val="24"/>
          <w:szCs w:val="24"/>
          <w:lang w:val="pt-BR"/>
        </w:rPr>
        <w:t>4</w:t>
      </w:r>
      <w:r>
        <w:rPr>
          <w:rFonts w:ascii="Arial" w:hAnsi="Arial" w:cs="Arial"/>
          <w:sz w:val="24"/>
          <w:szCs w:val="24"/>
        </w:rPr>
        <w:t>) O profissional indicado pelo licitante para fins de comprovação da capacidade técnica-profissional deverá acompanhar a execução dos serviços, admitindo-se sua substituição por profissionais de experiência equivalente ou superior, desde que aprovada pela Administração. Para essa substituição, a qualificação técnica do profissional substituto deverá atender as mesmas exigências deste Edital.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hint="default" w:ascii="Arial" w:hAnsi="Arial" w:cs="Arial"/>
          <w:sz w:val="24"/>
          <w:szCs w:val="24"/>
          <w:lang w:val="pt-BR"/>
        </w:rPr>
        <w:t xml:space="preserve"> </w:t>
      </w:r>
    </w:p>
    <w:p>
      <w:pPr>
        <w:pStyle w:val="10"/>
        <w:numPr>
          <w:ilvl w:val="0"/>
          <w:numId w:val="1"/>
        </w:numPr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pt-BR"/>
        </w:rPr>
        <w:t>VISITA TÉCNICA FACULTATIVA</w:t>
      </w:r>
      <w:r>
        <w:rPr>
          <w:rFonts w:ascii="Arial" w:hAnsi="Arial" w:cs="Arial"/>
          <w:b/>
          <w:sz w:val="24"/>
          <w:szCs w:val="24"/>
        </w:rPr>
        <w:t xml:space="preserve">: 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 w:eastAsia="pt-BR" w:bidi="ar-SA"/>
        </w:rPr>
      </w:pPr>
      <w:r>
        <w:rPr>
          <w:rFonts w:ascii="Arial" w:hAnsi="Arial" w:cs="Arial"/>
          <w:sz w:val="24"/>
          <w:szCs w:val="24"/>
          <w:lang w:val="en-US" w:eastAsia="pt-BR" w:bidi="ar-SA"/>
        </w:rPr>
        <w:t xml:space="preserve">A Secretaria de Obras e Infraestruturas recomenda </w:t>
      </w:r>
      <w:r>
        <w:rPr>
          <w:rFonts w:ascii="Arial" w:hAnsi="Arial" w:cs="Arial"/>
          <w:sz w:val="24"/>
          <w:szCs w:val="24"/>
          <w:lang w:val="pt-BR" w:eastAsia="pt-BR" w:bidi="ar-SA"/>
        </w:rPr>
        <w:t>que todos os licitantes</w:t>
      </w:r>
      <w:r>
        <w:rPr>
          <w:rFonts w:ascii="Arial" w:hAnsi="Arial" w:cs="Arial"/>
          <w:sz w:val="24"/>
          <w:szCs w:val="24"/>
          <w:lang w:val="en-US" w:eastAsia="pt-BR" w:bidi="ar-SA"/>
        </w:rPr>
        <w:t xml:space="preserve"> visitem</w:t>
      </w:r>
      <w:r>
        <w:rPr>
          <w:rFonts w:ascii="Arial" w:hAnsi="Arial" w:cs="Arial"/>
          <w:sz w:val="24"/>
          <w:szCs w:val="24"/>
          <w:lang w:val="pt-BR" w:eastAsia="pt-BR" w:bidi="ar-SA"/>
        </w:rPr>
        <w:t xml:space="preserve"> os locais da execução dos serviços</w:t>
      </w:r>
      <w:r>
        <w:rPr>
          <w:rFonts w:ascii="Arial" w:hAnsi="Arial" w:cs="Arial"/>
          <w:sz w:val="24"/>
          <w:szCs w:val="24"/>
          <w:lang w:val="en-US" w:eastAsia="pt-BR" w:bidi="ar-SA"/>
        </w:rPr>
        <w:t xml:space="preserve"> para terem conhecimento pleno</w:t>
      </w:r>
      <w:r>
        <w:rPr>
          <w:rFonts w:ascii="Arial" w:hAnsi="Arial" w:cs="Arial"/>
          <w:sz w:val="24"/>
          <w:szCs w:val="24"/>
          <w:lang w:val="pt-BR" w:eastAsia="pt-BR" w:bidi="ar-SA"/>
        </w:rPr>
        <w:t xml:space="preserve"> </w:t>
      </w:r>
      <w:r>
        <w:rPr>
          <w:rFonts w:ascii="Arial" w:hAnsi="Arial" w:cs="Arial"/>
          <w:sz w:val="24"/>
          <w:szCs w:val="24"/>
          <w:lang w:val="en-US" w:eastAsia="pt-BR" w:bidi="ar-SA"/>
        </w:rPr>
        <w:t>das obras a serem executadas e dos impactos ambientais consequentes. O objetivo da visita é que os preços ofertados pelas empresas r</w:t>
      </w:r>
      <w:r>
        <w:rPr>
          <w:rFonts w:ascii="Arial" w:hAnsi="Arial" w:cs="Arial"/>
          <w:sz w:val="24"/>
          <w:szCs w:val="24"/>
          <w:lang w:val="pt-BR" w:eastAsia="pt-BR" w:bidi="ar-SA"/>
        </w:rPr>
        <w:t>efl</w:t>
      </w:r>
      <w:r>
        <w:rPr>
          <w:rFonts w:ascii="Arial" w:hAnsi="Arial" w:cs="Arial"/>
          <w:sz w:val="24"/>
          <w:szCs w:val="24"/>
          <w:lang w:val="en-US" w:eastAsia="pt-BR" w:bidi="ar-SA"/>
        </w:rPr>
        <w:t>i</w:t>
      </w:r>
      <w:r>
        <w:rPr>
          <w:rFonts w:ascii="Arial" w:hAnsi="Arial" w:cs="Arial"/>
          <w:sz w:val="24"/>
          <w:szCs w:val="24"/>
          <w:lang w:val="pt-BR" w:eastAsia="pt-BR" w:bidi="ar-SA"/>
        </w:rPr>
        <w:t>t</w:t>
      </w:r>
      <w:r>
        <w:rPr>
          <w:rFonts w:ascii="Arial" w:hAnsi="Arial" w:cs="Arial"/>
          <w:sz w:val="24"/>
          <w:szCs w:val="24"/>
          <w:lang w:val="en-US" w:eastAsia="pt-BR" w:bidi="ar-SA"/>
        </w:rPr>
        <w:t>a</w:t>
      </w:r>
      <w:r>
        <w:rPr>
          <w:rFonts w:ascii="Arial" w:hAnsi="Arial" w:cs="Arial"/>
          <w:sz w:val="24"/>
          <w:szCs w:val="24"/>
          <w:lang w:val="pt-BR" w:eastAsia="pt-BR" w:bidi="ar-SA"/>
        </w:rPr>
        <w:t>m com exatidão os serviços a serem executados, evitando-se futuros pleitos de aditivos ao contrato.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 w:bidi="ar-SA"/>
        </w:rPr>
      </w:pPr>
      <w:r>
        <w:rPr>
          <w:rFonts w:ascii="Arial" w:hAnsi="Arial" w:cs="Arial"/>
          <w:sz w:val="24"/>
          <w:szCs w:val="24"/>
          <w:lang w:val="en-US" w:eastAsia="pt-BR" w:bidi="ar-SA"/>
        </w:rPr>
        <w:t>Caso queira visitar o local, o</w:t>
      </w:r>
      <w:r>
        <w:rPr>
          <w:rFonts w:ascii="Arial" w:hAnsi="Arial" w:cs="Arial"/>
          <w:sz w:val="24"/>
          <w:szCs w:val="24"/>
          <w:lang w:val="pt-BR" w:eastAsia="pt-BR" w:bidi="ar-SA"/>
        </w:rPr>
        <w:t xml:space="preserve"> licitante </w:t>
      </w:r>
      <w:r>
        <w:rPr>
          <w:rFonts w:ascii="Arial" w:hAnsi="Arial" w:cs="Arial"/>
          <w:sz w:val="24"/>
          <w:szCs w:val="24"/>
          <w:lang w:val="en-US" w:eastAsia="pt-BR" w:bidi="ar-SA"/>
        </w:rPr>
        <w:t>deve</w:t>
      </w:r>
      <w:r>
        <w:rPr>
          <w:rFonts w:ascii="Arial" w:hAnsi="Arial" w:cs="Arial"/>
          <w:sz w:val="24"/>
          <w:szCs w:val="24"/>
          <w:lang w:val="pt-BR" w:eastAsia="pt-BR" w:bidi="ar-SA"/>
        </w:rPr>
        <w:t>rá agendar junto a Secretaria de Obras no período e horários estabelecidos no Edital.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 w:bidi="ar-SA"/>
        </w:rPr>
      </w:pPr>
      <w:r>
        <w:rPr>
          <w:rFonts w:ascii="Arial" w:hAnsi="Arial" w:cs="Arial"/>
          <w:sz w:val="24"/>
          <w:szCs w:val="24"/>
          <w:lang w:val="pt-BR" w:eastAsia="pt-BR" w:bidi="ar-SA"/>
        </w:rPr>
        <w:t>As empresas participantes deverão apresentar uma declaração formal, sob as penas cabíveis</w:t>
      </w:r>
      <w:r>
        <w:rPr>
          <w:rFonts w:ascii="Arial" w:hAnsi="Arial" w:cs="Arial"/>
          <w:sz w:val="24"/>
          <w:szCs w:val="24"/>
          <w:lang w:val="en-US" w:eastAsia="pt-BR" w:bidi="ar-SA"/>
        </w:rPr>
        <w:t>,</w:t>
      </w:r>
      <w:r>
        <w:rPr>
          <w:rFonts w:ascii="Arial" w:hAnsi="Arial" w:cs="Arial"/>
          <w:sz w:val="24"/>
          <w:szCs w:val="24"/>
          <w:lang w:val="pt-BR" w:eastAsia="pt-BR" w:bidi="ar-SA"/>
        </w:rPr>
        <w:t xml:space="preserve"> de que possui pleno conhecimento das condições da execução das obras e ou serviços, bem como dispõe de instalações, pessoal especializado, maquinas e equipamentos, os quais deverão estar disponíveis nas quantidades e qualidades mínimas necessárias ao cumprimento do objetivo.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 w:eastAsia="pt-BR" w:bidi="ar-SA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DESCRIÇÃO DOS SERVIÇOS E METOLOGIA DE TRABALHO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 serviços serão realizados em rigorosa observância aos projetos e respectivos detalhes, bem como na estrita obediência às prescrições e exigências contidas em memorial descritivo, critérios de medição e planilhas orçamentarias. </w:t>
      </w:r>
    </w:p>
    <w:p>
      <w:pPr>
        <w:pStyle w:val="10"/>
        <w:spacing w:after="0" w:line="360" w:lineRule="auto"/>
        <w:ind w:left="0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jc w:val="both"/>
        <w:rPr>
          <w:rFonts w:ascii="Verdana" w:hAnsi="Verdana"/>
          <w:b/>
        </w:rPr>
      </w:pPr>
      <w:r>
        <w:rPr>
          <w:rFonts w:hint="default" w:ascii="Arial" w:hAnsi="Arial" w:cs="Arial"/>
          <w:b w:val="0"/>
          <w:bCs/>
          <w:sz w:val="24"/>
          <w:szCs w:val="24"/>
          <w:lang w:val="pt-BR"/>
        </w:rPr>
        <w:t>8.1</w:t>
      </w:r>
      <w:r>
        <w:rPr>
          <w:rFonts w:hint="default" w:ascii="Arial" w:hAnsi="Arial" w:cs="Arial"/>
          <w:b w:val="0"/>
          <w:bCs/>
          <w:sz w:val="24"/>
          <w:szCs w:val="24"/>
        </w:rPr>
        <w:t>– Início dos Serviços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1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.1 - Os serviços terão início na data da emissão da ORDEM DE SERVIÇO a ser emitida pela Municipalidade e recebida pelo responsável da empresa.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jc w:val="both"/>
        <w:rPr>
          <w:rFonts w:hint="default" w:ascii="Arial" w:hAnsi="Arial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cs="Arial"/>
          <w:b w:val="0"/>
          <w:bCs/>
          <w:sz w:val="24"/>
          <w:szCs w:val="24"/>
          <w:lang w:val="pt-BR"/>
        </w:rPr>
        <w:t>8.2 – Equipe Técnica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2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.1 - A equipe técnica a ser alocada para execução dos serviços deverá ser constituída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pelos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profissionais necessários à execução dos serviços constantes das PLANILHAS ORÇAMENTÁRIAS da SECOBR em numero e especialização compatíveis com a natureza dos serviços e o cronograma físico.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3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.2 - Quando não houver acatamento das determinações da fiscalização por parte dos prepostos e responsáveis da Contratada na obra, será facultado à fiscalização da SECOBR exigir a sua substituição por outro profissional,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escolhido pela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Contratada.</w:t>
      </w:r>
    </w:p>
    <w:p>
      <w:pPr>
        <w:jc w:val="both"/>
        <w:rPr>
          <w:rFonts w:hint="default" w:ascii="Arial" w:hAnsi="Arial" w:cs="Arial"/>
          <w:b w:val="0"/>
          <w:bCs/>
          <w:sz w:val="24"/>
          <w:szCs w:val="24"/>
          <w:lang w:val="pt-BR"/>
        </w:rPr>
      </w:pPr>
    </w:p>
    <w:p>
      <w:pPr>
        <w:jc w:val="both"/>
        <w:rPr>
          <w:rFonts w:hint="default" w:ascii="Arial" w:hAnsi="Arial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cs="Arial"/>
          <w:b w:val="0"/>
          <w:bCs/>
          <w:sz w:val="24"/>
          <w:szCs w:val="24"/>
          <w:lang w:val="pt-BR"/>
        </w:rPr>
        <w:t>8.3 – Forma de Execução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3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.1 - Após ser dada a Ordem de Serviço à Contratada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, esta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deverá apresentar o cronograma físico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-financeiro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da obra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,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q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ue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deverá obedecer ao prazo máximo estipulado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pel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o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contrato e pelo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cronograma indicado no anexo deste Termo de Referência.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cs="Arial"/>
          <w:b w:val="0"/>
          <w:bCs/>
          <w:sz w:val="24"/>
          <w:szCs w:val="24"/>
          <w:lang w:val="pt-BR"/>
        </w:rPr>
        <w:t>8.4 - A contratada deverá instalar o canteiro próximo ao local da obra.</w:t>
      </w:r>
    </w:p>
    <w:p>
      <w:pPr>
        <w:spacing w:after="0" w:line="360" w:lineRule="auto"/>
        <w:jc w:val="both"/>
        <w:rPr>
          <w:rFonts w:hint="default" w:ascii="Arial" w:hAnsi="Arial" w:cs="Arial"/>
          <w:b w:val="0"/>
          <w:bCs/>
          <w:sz w:val="24"/>
          <w:szCs w:val="24"/>
          <w:lang w:val="pt-BR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5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- Com relação aos itens de Segurança do Trabalho, devem ser atendidas e observadas todas as Normas Regulamentadoras, pertinentes e orientações do Ministério do Trabalho durante a vigência contratual. Os operários deverão estar com Equipamentos de Proteção Individual - EPI´s adequados aos serviços que estiverem executando e, quando necessário, Equipamentos de Proteção Coletiva – EPC.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b w:val="0"/>
          <w:bCs/>
          <w:sz w:val="24"/>
          <w:szCs w:val="24"/>
          <w:lang w:val="pt-BR"/>
        </w:rPr>
        <w:t xml:space="preserve">8.6 -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Os serviços contratados devem ser executados rigorosamente de acordo com as especificações contidas no memorial e projetos, sendo toda a mão de obra e materiais fornecidos pela Contratada. Destaca-se que serão impugnados pela fiscalização de obra, todos os trabalhos que não satisfaçam às condições técnicas e contratuais, ficando a Contratada obrigada a demolir e a refazer os trabalhos logo após a oficialização pela fiscalização, ficando por sua conta exclusiva as despesas decorrentes dessas providências.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b w:val="0"/>
          <w:bCs/>
          <w:sz w:val="24"/>
          <w:szCs w:val="24"/>
          <w:lang w:val="pt-BR"/>
        </w:rPr>
        <w:t xml:space="preserve">8.7 -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Os materiais a serem empregados deverão ser novos, adequados aos tipos de serviços e atenderem às especificações, projetos e planilhas inclusive as normas aplicáveis.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8.8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- Também é de responsabilidade da Contratada o serviço de vigilância nos recintos de trabalho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 e em especial no canteiro de obras e deposito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, cabendo-lhe toda a responsabilidade por quaisquer danos decorrentes de negligência durante a execução das obras, até a entrega definitiva.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8.9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- Caso seja efetuada qualquer modificação, parcial ou total, constantes nesse Termo de Referencia, proposta pela Contratante ou pela Contratada este fato não implicará em anular ou invalidar o contrato, que prevalecerá em quaisquer circunstâncias. Potenciais alterações que incorram no surgimento de serviço novo deverá ser apresentada previamente pela Contratada e analisada pela SECOBR antes do início efetivo do serviço.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8.10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- No que se refere à mobilização e desmobilização, a Contratada deve atender aos seguintes aspectos: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-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Tomar todas as providências relativas à mobilização após assinatura do contrato, de forma a poder dar início efetivo e concluir a obra dentro do prazo contratual e cronograma apresentado;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en-US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-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Transporte de todos os equipamentos e materiais, para execução dos serviços contratados, até o canteiro de obra e sua posterior retirada;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-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Movimentação de todo o pessoal ligado à Contratada, em qualquer tempo, até o canteiro de obras e posterior regresso a seus locais de origem;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-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No final da obra, remover todas as instalações do Canteiro de Obras, equipamentos, detritos e restos de materiais, de modo a entregar as áreas utilizadas totalmente limpa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s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.11 – Subcontratação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en-US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.11.1 -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Não será permitido a subcontratação.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en-US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en-US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8.11.2 - É motivo para rescisão contratual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a subcontratação total ou parcial do seu objeto, a associação do contratado com outrem, a cessão ou transferência, total ou parcial, bem como a fusão, cisão ou incorporação, não admitidas no edital e no contrato.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en-US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en-US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en-US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en-US" w:bidi="ar-SA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 ESTIMATIVA DE VALORES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9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.1 - </w:t>
      </w:r>
      <w:r>
        <w:rPr>
          <w:rFonts w:ascii="Arial" w:hAnsi="Arial" w:eastAsia="Calibri" w:cs="Arial"/>
          <w:sz w:val="24"/>
          <w:szCs w:val="24"/>
          <w:lang w:val="pt-BR" w:eastAsia="pt-BR" w:bidi="ar-SA"/>
        </w:rPr>
        <w:t xml:space="preserve">O valor total é de </w:t>
      </w:r>
      <w:r>
        <w:rPr>
          <w:rFonts w:hint="default" w:ascii="Arial" w:hAnsi="Arial" w:eastAsia="Calibri" w:cs="Arial"/>
          <w:sz w:val="24"/>
          <w:szCs w:val="24"/>
          <w:lang w:val="en-US" w:eastAsia="zh-CN" w:bidi="ar-SA"/>
        </w:rPr>
        <w:t xml:space="preserve">R$ </w:t>
      </w:r>
      <w:r>
        <w:rPr>
          <w:rFonts w:hint="default" w:ascii="Arial" w:hAnsi="Arial" w:eastAsia="LiberationSerif-Bold"/>
          <w:b w:val="0"/>
          <w:bCs/>
          <w:color w:val="auto"/>
          <w:sz w:val="24"/>
          <w:szCs w:val="24"/>
          <w:highlight w:val="none"/>
          <w:lang w:val="pt-BR"/>
        </w:rPr>
        <w:t xml:space="preserve">237.679,15 </w:t>
      </w:r>
      <w:r>
        <w:rPr>
          <w:rFonts w:hint="default" w:ascii="Arial" w:hAnsi="Arial" w:eastAsia="LiberationSerif-Bold" w:cs="Arial"/>
          <w:b w:val="0"/>
          <w:bCs/>
          <w:color w:val="auto"/>
          <w:sz w:val="24"/>
          <w:szCs w:val="24"/>
          <w:highlight w:val="none"/>
          <w:lang w:val="pt-BR"/>
        </w:rPr>
        <w:t>(duzentos e trinta e sete mil, seiscentos e setenta e nove reais e quinze centavos)</w:t>
      </w:r>
      <w:r>
        <w:rPr>
          <w:rFonts w:ascii="Arial" w:hAnsi="Arial" w:eastAsia="Calibri" w:cs="Arial"/>
          <w:sz w:val="24"/>
          <w:szCs w:val="24"/>
          <w:lang w:val="pt-BR" w:eastAsia="pt-BR" w:bidi="ar-SA"/>
        </w:rPr>
        <w:t>, conforme indicado na Planilha Orçamentária integrante do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 ETP (Estudo Tecnico Preliminar).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pStyle w:val="16"/>
        <w:spacing w:after="0" w:line="360" w:lineRule="auto"/>
        <w:ind w:left="0" w:firstLine="708" w:firstLineChars="0"/>
        <w:jc w:val="both"/>
        <w:rPr>
          <w:rFonts w:hint="default" w:ascii="Arial" w:hAnsi="Arial"/>
          <w:sz w:val="24"/>
          <w:szCs w:val="24"/>
          <w:highlight w:val="none"/>
          <w:lang w:val="en-US" w:eastAsia="pt-BR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9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.2 -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 </w:t>
      </w:r>
      <w:r>
        <w:rPr>
          <w:rFonts w:ascii="Arial" w:hAnsi="Arial" w:cs="Arial"/>
          <w:sz w:val="24"/>
          <w:szCs w:val="24"/>
          <w:lang w:eastAsia="pt-BR"/>
        </w:rPr>
        <w:t>Para a composição dos preços unitários, foi utilizad</w:t>
      </w:r>
      <w:r>
        <w:rPr>
          <w:rFonts w:hint="default" w:ascii="Arial" w:hAnsi="Arial" w:cs="Arial"/>
          <w:sz w:val="24"/>
          <w:szCs w:val="24"/>
          <w:lang w:val="en-US" w:eastAsia="pt-BR"/>
        </w:rPr>
        <w:t>o</w:t>
      </w:r>
      <w:r>
        <w:rPr>
          <w:rFonts w:ascii="Arial" w:hAnsi="Arial" w:cs="Arial"/>
          <w:sz w:val="24"/>
          <w:szCs w:val="24"/>
          <w:lang w:eastAsia="pt-BR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pt-BR"/>
        </w:rPr>
        <w:t>o</w:t>
      </w:r>
      <w:r>
        <w:rPr>
          <w:rFonts w:ascii="Arial" w:hAnsi="Arial" w:cs="Arial"/>
          <w:sz w:val="24"/>
          <w:szCs w:val="24"/>
          <w:lang w:eastAsia="pt-BR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pt-BR"/>
        </w:rPr>
        <w:t>referencial IOPES 01/2022,</w:t>
      </w:r>
      <w:r>
        <w:rPr>
          <w:rFonts w:ascii="Arial" w:hAnsi="Arial" w:cs="Arial"/>
          <w:sz w:val="24"/>
          <w:szCs w:val="24"/>
          <w:lang w:eastAsia="pt-BR"/>
        </w:rPr>
        <w:t xml:space="preserve"> 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highlight w:val="none"/>
          <w:lang w:val="pt-BR"/>
        </w:rPr>
        <w:t>c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om desoneração</w:t>
      </w:r>
      <w:r>
        <w:rPr>
          <w:rFonts w:ascii="Arial" w:hAnsi="Arial" w:cs="Arial"/>
          <w:sz w:val="24"/>
          <w:szCs w:val="24"/>
          <w:highlight w:val="none"/>
          <w:lang w:eastAsia="pt-BR"/>
        </w:rPr>
        <w:t xml:space="preserve">, BDI de </w:t>
      </w:r>
      <w:r>
        <w:rPr>
          <w:rFonts w:hint="default" w:ascii="Arial" w:hAnsi="Arial" w:cs="Arial"/>
          <w:sz w:val="24"/>
          <w:szCs w:val="24"/>
          <w:highlight w:val="none"/>
          <w:lang w:val="en-US" w:eastAsia="pt-BR"/>
        </w:rPr>
        <w:t>29,63</w:t>
      </w:r>
      <w:r>
        <w:rPr>
          <w:rFonts w:ascii="Arial" w:hAnsi="Arial" w:cs="Arial"/>
          <w:sz w:val="24"/>
          <w:szCs w:val="24"/>
          <w:highlight w:val="none"/>
          <w:lang w:eastAsia="pt-BR"/>
        </w:rPr>
        <w:t>%</w:t>
      </w:r>
      <w:r>
        <w:rPr>
          <w:rFonts w:hint="default" w:ascii="Arial" w:hAnsi="Arial" w:cs="Arial"/>
          <w:sz w:val="24"/>
          <w:szCs w:val="24"/>
          <w:highlight w:val="none"/>
          <w:lang w:val="en-US" w:eastAsia="pt-BR"/>
        </w:rPr>
        <w:t>,</w:t>
      </w:r>
      <w:r>
        <w:rPr>
          <w:rFonts w:ascii="Arial" w:hAnsi="Arial" w:cs="Arial"/>
          <w:sz w:val="24"/>
          <w:szCs w:val="24"/>
          <w:highlight w:val="none"/>
          <w:lang w:eastAsia="pt-BR"/>
        </w:rPr>
        <w:t xml:space="preserve"> 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highlight w:val="none"/>
          <w:lang w:val="pt-BR"/>
        </w:rPr>
        <w:t xml:space="preserve">do DER-ES (Edificações) junho de 2021 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.</w:t>
      </w:r>
    </w:p>
    <w:p>
      <w:pPr>
        <w:pStyle w:val="10"/>
        <w:numPr>
          <w:ilvl w:val="0"/>
          <w:numId w:val="0"/>
        </w:num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en-US" w:eastAsia="pt-BR" w:bidi="ar-SA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444" w:leftChars="0" w:hanging="444" w:firstLineChars="0"/>
        <w:jc w:val="both"/>
        <w:rPr>
          <w:rFonts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PROCEDIMENTOS </w:t>
      </w:r>
      <w:r>
        <w:rPr>
          <w:rFonts w:ascii="Arial" w:hAnsi="Arial" w:cs="Arial"/>
          <w:b/>
          <w:sz w:val="24"/>
          <w:szCs w:val="24"/>
          <w:lang w:val="pt-BR"/>
        </w:rPr>
        <w:t>E CRITÉRIOS PARA REAJUSTAMENTO DO CONTRATO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Não haverá reajustamento do preço contratado. Caso o prazo contratual inicialmente fixado seja prorrogado, nas hipóteses do art. 57, da Lei 8.666/93, ultrapassando o período de vigência de 1 (um) ano, contados a partir da data limite de apresentação da proposta, poderá ser concedido reajuste ao preço contratado, mediante requerimento escrito. Entretanto, o reajustamento fica subordinado à Legislação Federal em vigor vinculado ao índice do INCC (Índice Nacional da Construção Civil).</w:t>
      </w:r>
    </w:p>
    <w:p>
      <w:pPr>
        <w:spacing w:after="0" w:line="360" w:lineRule="auto"/>
        <w:jc w:val="both"/>
        <w:rPr>
          <w:rFonts w:hint="default" w:ascii="Verdana" w:hAnsi="Verdana" w:eastAsia="Calibri" w:cs="Times New Roman"/>
          <w:sz w:val="22"/>
          <w:szCs w:val="22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 xml:space="preserve">Dessa forma, o primeiro reajuste deve levar em conta o índice do INCC acumulado nos 12 meses, contados a partir da data de apresentação da proposta.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br w:type="textWrapping"/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Consequentemente, as parcelas do contrato pagas desde a data da apresentação das propostas da licitação até o 12º mês depois desta data-base não podem sofrer reajustes.</w:t>
      </w:r>
      <w:r>
        <w:rPr>
          <w:rFonts w:hint="default" w:ascii="Verdana" w:hAnsi="Verdana" w:eastAsia="Calibri" w:cs="Times New Roman"/>
          <w:sz w:val="22"/>
          <w:szCs w:val="22"/>
          <w:lang w:val="pt-BR" w:eastAsia="en-US" w:bidi="ar-SA"/>
        </w:rPr>
        <w:br w:type="textWrapping"/>
      </w:r>
    </w:p>
    <w:p>
      <w:pPr>
        <w:spacing w:after="0" w:line="360" w:lineRule="auto"/>
        <w:jc w:val="both"/>
        <w:rPr>
          <w:rFonts w:hint="default" w:ascii="Verdana" w:hAnsi="Verdana" w:eastAsia="Calibri" w:cs="Times New Roman"/>
          <w:sz w:val="22"/>
          <w:szCs w:val="22"/>
          <w:lang w:val="pt-BR" w:eastAsia="en-US" w:bidi="ar-SA"/>
        </w:rPr>
      </w:pPr>
    </w:p>
    <w:p>
      <w:pPr>
        <w:pStyle w:val="10"/>
        <w:numPr>
          <w:ilvl w:val="0"/>
          <w:numId w:val="3"/>
        </w:numPr>
        <w:spacing w:after="0" w:line="360" w:lineRule="auto"/>
        <w:ind w:left="420" w:leftChars="0" w:hanging="420" w:firstLineChars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Critério de Reajustamento: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    </w:t>
      </w:r>
    </w:p>
    <w:p>
      <w:pPr>
        <w:pStyle w:val="10"/>
        <w:spacing w:after="0" w:line="360" w:lineRule="auto"/>
        <w:ind w:left="0"/>
        <w:jc w:val="center"/>
        <w:rPr>
          <w:rFonts w:ascii="Arial" w:hAnsi="Arial" w:cs="Arial"/>
          <w:position w:val="-10"/>
          <w:sz w:val="24"/>
          <w:szCs w:val="24"/>
          <w:lang w:val="pt-BR"/>
        </w:rPr>
      </w:pPr>
      <w:r>
        <w:rPr>
          <w:rFonts w:ascii="Arial" w:hAnsi="Arial" w:cs="Arial"/>
          <w:position w:val="-10"/>
          <w:sz w:val="24"/>
          <w:szCs w:val="24"/>
          <w:lang w:val="pt-BR"/>
        </w:rPr>
        <w:object>
          <v:shape id="_x0000_i1025" o:spt="75" type="#_x0000_t75" style="height:16pt;width:48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</w:p>
    <w:p>
      <w:pPr>
        <w:pStyle w:val="10"/>
        <w:spacing w:after="0" w:line="360" w:lineRule="auto"/>
        <w:ind w:left="0"/>
        <w:jc w:val="center"/>
        <w:rPr>
          <w:rFonts w:ascii="Arial" w:hAnsi="Arial" w:cs="Arial"/>
          <w:position w:val="-10"/>
          <w:sz w:val="24"/>
          <w:szCs w:val="24"/>
          <w:lang w:val="pt-BR"/>
        </w:rPr>
      </w:pPr>
    </w:p>
    <w:p>
      <w:pPr>
        <w:pStyle w:val="10"/>
        <w:spacing w:after="0" w:line="360" w:lineRule="auto"/>
        <w:ind w:left="0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Onde: k = </w:t>
      </w:r>
      <w:r>
        <w:rPr>
          <w:rFonts w:hint="default" w:ascii="Arial" w:hAnsi="Arial" w:cs="Arial"/>
          <w:sz w:val="24"/>
          <w:szCs w:val="24"/>
          <w:lang w:val="pt-BR"/>
        </w:rPr>
        <w:t>P</w:t>
      </w:r>
      <w:r>
        <w:rPr>
          <w:rFonts w:ascii="Arial" w:hAnsi="Arial" w:cs="Arial"/>
          <w:sz w:val="24"/>
          <w:szCs w:val="24"/>
          <w:lang w:val="pt-BR"/>
        </w:rPr>
        <w:t>ercentual acumulado do índice</w:t>
      </w:r>
      <w:r>
        <w:rPr>
          <w:rFonts w:hint="default" w:ascii="Arial" w:hAnsi="Arial" w:cs="Arial"/>
          <w:sz w:val="24"/>
          <w:szCs w:val="24"/>
          <w:lang w:val="pt-BR"/>
        </w:rPr>
        <w:t xml:space="preserve"> INCC do periodo de apresentação da proposta até o mês de aniversario do reajustamento;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          R = Valor da medição reajustado;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          M = Medição com valores da apresentação da proposta de licitação.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bookmarkStart w:id="0" w:name="_GoBack"/>
      <w:bookmarkEnd w:id="0"/>
    </w:p>
    <w:p>
      <w:pPr>
        <w:pStyle w:val="10"/>
        <w:numPr>
          <w:ilvl w:val="0"/>
          <w:numId w:val="1"/>
        </w:numPr>
        <w:spacing w:after="0" w:line="360" w:lineRule="auto"/>
        <w:ind w:left="0" w:leftChars="0" w:hanging="360" w:firstLine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PROCEDIMENTOS DE FISCALIZAÇÃO</w:t>
      </w:r>
      <w:r>
        <w:rPr>
          <w:rFonts w:ascii="Arial" w:hAnsi="Arial" w:cs="Arial"/>
          <w:b/>
          <w:position w:val="-10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position w:val="-24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GERENCIAMENTO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</w:rPr>
        <w:t xml:space="preserve">O </w:t>
      </w:r>
      <w:r>
        <w:rPr>
          <w:rFonts w:ascii="Arial" w:hAnsi="Arial" w:cs="Arial"/>
          <w:sz w:val="24"/>
          <w:szCs w:val="24"/>
          <w:lang w:val="pt-BR"/>
        </w:rPr>
        <w:t xml:space="preserve">Gerente de </w:t>
      </w:r>
      <w:r>
        <w:rPr>
          <w:rFonts w:hint="default" w:ascii="Arial" w:hAnsi="Arial" w:cs="Arial"/>
          <w:sz w:val="24"/>
          <w:szCs w:val="24"/>
          <w:lang w:val="pt-BR"/>
        </w:rPr>
        <w:t>Aprovação de Projetos</w:t>
      </w:r>
      <w:r>
        <w:rPr>
          <w:rFonts w:ascii="Arial" w:hAnsi="Arial" w:cs="Arial"/>
          <w:sz w:val="24"/>
          <w:szCs w:val="24"/>
        </w:rPr>
        <w:t xml:space="preserve">, o Eng. Civil </w:t>
      </w:r>
      <w:r>
        <w:rPr>
          <w:rFonts w:hint="default" w:ascii="Arial" w:hAnsi="Arial" w:cs="Arial"/>
          <w:sz w:val="24"/>
          <w:szCs w:val="24"/>
          <w:lang w:val="pt-BR"/>
        </w:rPr>
        <w:t>Guilherme Faria Moreira</w:t>
      </w:r>
      <w:r>
        <w:rPr>
          <w:rFonts w:ascii="Arial" w:hAnsi="Arial" w:cs="Arial"/>
          <w:sz w:val="24"/>
          <w:szCs w:val="24"/>
        </w:rPr>
        <w:t xml:space="preserve"> será o representante da municipalidade para o gerenciamento, acompanhamento e fiscalização da obra, por designação da secretaria de Obras</w:t>
      </w:r>
      <w:r>
        <w:rPr>
          <w:rFonts w:ascii="Arial" w:hAnsi="Arial" w:cs="Arial"/>
          <w:sz w:val="24"/>
          <w:szCs w:val="24"/>
          <w:lang w:val="pt-BR"/>
        </w:rPr>
        <w:t xml:space="preserve"> e Infraestrutura.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FORMA DE PAGAMENTO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As medições serão feitas de acordo com o seguinte procedimento: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numPr>
          <w:ilvl w:val="0"/>
          <w:numId w:val="4"/>
        </w:num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Apresentação da medição pela contratada à Secretaria Municipal de Obras e Infraestrutura, devidamente protocolada, contendo:</w:t>
      </w:r>
    </w:p>
    <w:p>
      <w:pPr>
        <w:numPr>
          <w:ilvl w:val="0"/>
          <w:numId w:val="0"/>
        </w:num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1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.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Boletim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da medição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 xml:space="preserve"> solicitada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;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2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. Relatório fotográfico;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3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. Cronograma físico financeiro atualizado;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4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. Diário de obras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( do período valido da medição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);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5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. Relatórios de ensaios do controle geotécnico quando for o caso;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b) Caso falte algum dos documentos citados no item anterior na entrega da medição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,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esta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será devolvida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à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Contratada para seus devidos acertos e complementações;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O prazo para a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liquidação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da medição dependerá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da entrega de toda a documentação comprobatório de regularidade fiscal e trabalhista por parte da empresa;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hint="default" w:ascii="Arial" w:hAnsi="Arial" w:cs="Arial"/>
          <w:sz w:val="24"/>
          <w:szCs w:val="24"/>
          <w:lang w:val="pt-BR"/>
        </w:rPr>
        <w:t>A Municipalidade após ateste da medição e de toda a documentação comprobatório de regularidade fiscal e trabalhista tem até 30 dias para realizar a devida liquidação da Nota Fiscal, salvo em caso de calamidade pública, grave perturbação da ordem interna ou guerra.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hint="default" w:ascii="Arial" w:hAnsi="Arial" w:cs="Arial"/>
          <w:sz w:val="24"/>
          <w:szCs w:val="24"/>
          <w:lang w:val="pt-BR"/>
        </w:rPr>
        <w:t>Para a Primeira medição será exigida a apresentação alem das documentações comprobatórios de regularidade fiscal da empresa, a apresentação do CNO - Cadastro Nacional de Obras, referente ao empreendimento contratado e da ART/RRT de execução do empreendimento do responsável técnico da empresa.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MODALIDADE DE AQUISIÇÃO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A Municipalidade decidiu por questões operacionais e técnicas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 xml:space="preserve"> que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o regime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 xml:space="preserve">de empreitada 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por preço unitário é o que melhor atende aos seus interesses.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Será considerada mais vantajosa a proposta da empresa que oferecer o menor preço. 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As propostas terão validade de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60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(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sessenta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) dias, contados da data de abertura da sessão pública estabelecida no Edital.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Os preços unitários informados pela Municipalidade são considerados como máximos, devendo portanto a planilha orçamentaria da empresa possuir valores inferiores ou igua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is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ao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s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orçado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s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pela Municipalidade.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DAS SANÇÕES ADMINISTRATIVAS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</w:rPr>
        <w:t>A serem estabelecidas</w:t>
      </w:r>
      <w:r>
        <w:rPr>
          <w:rFonts w:ascii="Arial" w:hAnsi="Arial" w:cs="Arial"/>
          <w:sz w:val="24"/>
          <w:szCs w:val="24"/>
          <w:lang w:val="pt-BR"/>
        </w:rPr>
        <w:t xml:space="preserve">  conforme contrato padrão da prefeitura.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DOS CRIT</w:t>
      </w:r>
      <w:r>
        <w:rPr>
          <w:rFonts w:ascii="Arial" w:hAnsi="Arial" w:cs="Arial"/>
          <w:b/>
          <w:sz w:val="24"/>
          <w:szCs w:val="24"/>
          <w:lang w:val="pt-BR"/>
        </w:rPr>
        <w:t>É</w:t>
      </w:r>
      <w:r>
        <w:rPr>
          <w:rFonts w:ascii="Arial" w:hAnsi="Arial" w:cs="Arial"/>
          <w:b/>
          <w:sz w:val="24"/>
          <w:szCs w:val="24"/>
        </w:rPr>
        <w:t>RIOS DE ACEITABILIDADE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As obras deverão ser executadas como definido nos projetos e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,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ao fim dos serviços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,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serão atestadas através do comprovante de funcionalidade emitido pelo Fiscal de Obra (termo de recebimento provisóri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o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). Prazo de garantia de cinco anos, conforme estabelecido na Lei 8.666.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RESPONSÁVEL PELA FISCALIZAÇÃO DO CONTRATO</w:t>
      </w:r>
    </w:p>
    <w:p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highlight w:val="none"/>
        </w:rPr>
      </w:pPr>
    </w:p>
    <w:p>
      <w:pPr>
        <w:spacing w:after="0" w:line="360" w:lineRule="auto"/>
        <w:jc w:val="both"/>
        <w:rPr>
          <w:rFonts w:ascii="Arial" w:hAnsi="Arial" w:cs="Arial"/>
          <w:color w:val="auto"/>
          <w:sz w:val="24"/>
          <w:szCs w:val="24"/>
          <w:highlight w:val="none"/>
        </w:rPr>
      </w:pPr>
      <w:r>
        <w:rPr>
          <w:rFonts w:ascii="Arial" w:hAnsi="Arial" w:cs="Arial"/>
          <w:color w:val="auto"/>
          <w:sz w:val="24"/>
          <w:szCs w:val="24"/>
          <w:highlight w:val="none"/>
        </w:rPr>
        <w:t xml:space="preserve">Fica indicado o 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 xml:space="preserve">servidor </w:t>
      </w: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>Edeilson da Silva Soares</w:t>
      </w:r>
      <w:r>
        <w:rPr>
          <w:rFonts w:ascii="Arial" w:hAnsi="Arial" w:cs="Arial"/>
          <w:color w:val="auto"/>
          <w:sz w:val="24"/>
          <w:szCs w:val="24"/>
          <w:highlight w:val="none"/>
        </w:rPr>
        <w:t>,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 xml:space="preserve"> Engenheiro Civil,</w:t>
      </w:r>
      <w:r>
        <w:rPr>
          <w:rFonts w:ascii="Arial" w:hAnsi="Arial" w:cs="Arial"/>
          <w:color w:val="auto"/>
          <w:sz w:val="24"/>
          <w:szCs w:val="24"/>
          <w:highlight w:val="none"/>
        </w:rPr>
        <w:t xml:space="preserve"> como fiscal do contrato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 xml:space="preserve"> e como fiscal substituto fica indicado </w:t>
      </w: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>o Engº. Pedro Abreu Pereira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>. T</w:t>
      </w:r>
      <w:r>
        <w:rPr>
          <w:rFonts w:ascii="Arial" w:hAnsi="Arial" w:cs="Arial"/>
          <w:color w:val="auto"/>
          <w:sz w:val="24"/>
          <w:szCs w:val="24"/>
          <w:highlight w:val="none"/>
        </w:rPr>
        <w:t>elefone: (27) 3263-4809 e e-mail: obras@pmsmj.es.gov.br.</w:t>
      </w:r>
    </w:p>
    <w:p>
      <w:pPr>
        <w:spacing w:after="0" w:line="360" w:lineRule="auto"/>
        <w:jc w:val="both"/>
        <w:rPr>
          <w:rFonts w:ascii="Arial" w:hAnsi="Arial" w:cs="Arial"/>
          <w:color w:val="auto"/>
          <w:sz w:val="24"/>
          <w:szCs w:val="24"/>
          <w:highlight w:val="none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RESPONSÁVEL PEL</w:t>
      </w:r>
      <w:r>
        <w:rPr>
          <w:rFonts w:hint="default" w:ascii="Arial" w:hAnsi="Arial" w:cs="Arial"/>
          <w:b/>
          <w:sz w:val="24"/>
          <w:szCs w:val="24"/>
          <w:lang w:val="pt-BR"/>
        </w:rPr>
        <w:t>A ELABORAÇÃO DO TERMO DE REFERENCIA</w:t>
      </w:r>
    </w:p>
    <w:p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highlight w:val="none"/>
        </w:rPr>
      </w:pPr>
    </w:p>
    <w:p>
      <w:pPr>
        <w:spacing w:after="0" w:line="360" w:lineRule="auto"/>
        <w:jc w:val="both"/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</w:pP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>O</w:t>
      </w:r>
      <w:r>
        <w:rPr>
          <w:rFonts w:ascii="Arial" w:hAnsi="Arial" w:cs="Arial"/>
          <w:color w:val="auto"/>
          <w:sz w:val="24"/>
          <w:szCs w:val="24"/>
          <w:highlight w:val="none"/>
        </w:rPr>
        <w:t xml:space="preserve"> 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 xml:space="preserve">servidor </w:t>
      </w: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>Guilherme Faria Moreira</w:t>
      </w:r>
      <w:r>
        <w:rPr>
          <w:rFonts w:ascii="Arial" w:hAnsi="Arial" w:cs="Arial"/>
          <w:color w:val="auto"/>
          <w:sz w:val="24"/>
          <w:szCs w:val="24"/>
          <w:highlight w:val="none"/>
        </w:rPr>
        <w:t>,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 xml:space="preserve"> Engenheiro Civil</w:t>
      </w: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>, MATRICULA: 055011</w:t>
      </w:r>
    </w:p>
    <w:p>
      <w:pPr>
        <w:spacing w:after="0" w:line="36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spacing w:after="0" w:line="360" w:lineRule="auto"/>
        <w:ind w:firstLine="2880" w:firstLineChars="1200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  <w:r>
        <w:rPr>
          <w:rFonts w:ascii="Arial" w:hAnsi="Arial" w:eastAsia="SimSun" w:cs="Arial"/>
          <w:sz w:val="24"/>
          <w:szCs w:val="24"/>
          <w:lang w:eastAsia="pt-BR"/>
        </w:rPr>
        <w:t xml:space="preserve">Santa Maria de Jetibá/ES, </w:t>
      </w:r>
      <w:r>
        <w:rPr>
          <w:rFonts w:hint="default" w:ascii="Arial" w:hAnsi="Arial" w:eastAsia="SimSun" w:cs="Arial"/>
          <w:sz w:val="24"/>
          <w:szCs w:val="24"/>
          <w:lang w:val="en-US" w:eastAsia="pt-BR"/>
        </w:rPr>
        <w:t>29</w:t>
      </w:r>
      <w:r>
        <w:rPr>
          <w:rFonts w:ascii="Arial" w:hAnsi="Arial" w:eastAsia="SimSun" w:cs="Arial"/>
          <w:sz w:val="24"/>
          <w:szCs w:val="24"/>
          <w:lang w:eastAsia="pt-BR"/>
        </w:rPr>
        <w:t xml:space="preserve"> de </w:t>
      </w:r>
      <w:r>
        <w:rPr>
          <w:rFonts w:hint="default" w:ascii="Arial" w:hAnsi="Arial" w:eastAsia="SimSun" w:cs="Arial"/>
          <w:sz w:val="24"/>
          <w:szCs w:val="24"/>
          <w:lang w:val="en-US" w:eastAsia="pt-BR"/>
        </w:rPr>
        <w:t>Abril</w:t>
      </w:r>
      <w:r>
        <w:rPr>
          <w:rFonts w:ascii="Arial" w:hAnsi="Arial" w:eastAsia="SimSun" w:cs="Arial"/>
          <w:sz w:val="24"/>
          <w:szCs w:val="24"/>
          <w:lang w:val="en-US" w:eastAsia="pt-BR"/>
        </w:rPr>
        <w:t xml:space="preserve"> </w:t>
      </w:r>
      <w:r>
        <w:rPr>
          <w:rFonts w:ascii="Arial" w:hAnsi="Arial" w:eastAsia="SimSun" w:cs="Arial"/>
          <w:sz w:val="24"/>
          <w:szCs w:val="24"/>
          <w:lang w:eastAsia="pt-BR"/>
        </w:rPr>
        <w:t>de 20</w:t>
      </w:r>
      <w:r>
        <w:rPr>
          <w:rFonts w:hint="default" w:ascii="Arial" w:hAnsi="Arial" w:eastAsia="SimSun" w:cs="Arial"/>
          <w:sz w:val="24"/>
          <w:szCs w:val="24"/>
          <w:lang w:val="en-US" w:eastAsia="pt-BR"/>
        </w:rPr>
        <w:t>22</w:t>
      </w:r>
      <w:r>
        <w:rPr>
          <w:rFonts w:ascii="Arial" w:hAnsi="Arial" w:eastAsia="SimSun" w:cs="Arial"/>
          <w:sz w:val="24"/>
          <w:szCs w:val="24"/>
          <w:lang w:eastAsia="pt-BR"/>
        </w:rPr>
        <w:t>.</w:t>
      </w:r>
    </w:p>
    <w:p>
      <w:pPr>
        <w:spacing w:after="0" w:line="36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spacing w:after="0" w:line="36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tbl>
      <w:tblPr>
        <w:tblStyle w:val="9"/>
        <w:tblpPr w:leftFromText="180" w:rightFromText="180" w:vertAnchor="text" w:horzAnchor="page" w:tblpX="1582" w:tblpY="281"/>
        <w:tblOverlap w:val="never"/>
        <w:tblW w:w="871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0"/>
        <w:gridCol w:w="43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  <w:tcBorders>
              <w:tl2br w:val="nil"/>
              <w:tr2bl w:val="nil"/>
            </w:tcBorders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lang w:val="pt-BR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lang w:val="pt-BR"/>
              </w:rPr>
              <w:t xml:space="preserve">Pedro Abreu Pereira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pt-BR"/>
              </w:rPr>
              <w:t>FISCAL DE CONTRATO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pt-BR"/>
              </w:rPr>
              <w:t>SUBSTITUTO</w:t>
            </w:r>
          </w:p>
        </w:tc>
        <w:tc>
          <w:tcPr>
            <w:tcW w:w="4358" w:type="dxa"/>
            <w:tcBorders>
              <w:tl2br w:val="nil"/>
              <w:tr2bl w:val="nil"/>
            </w:tcBorders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lang w:val="pt-BR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lang w:val="pt-BR"/>
              </w:rPr>
              <w:t>Edeilson da Silva Soares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pt-BR"/>
              </w:rPr>
              <w:t>FISCAL DE CONTRATO</w:t>
            </w:r>
          </w:p>
        </w:tc>
      </w:tr>
    </w:tbl>
    <w:p>
      <w:pPr>
        <w:spacing w:after="0" w:line="24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spacing w:after="0" w:line="24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spacing w:after="0" w:line="24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spacing w:after="0" w:line="240" w:lineRule="auto"/>
        <w:jc w:val="center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spacing w:after="0" w:line="24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pStyle w:val="10"/>
        <w:spacing w:after="0" w:line="240" w:lineRule="auto"/>
        <w:ind w:left="0" w:leftChars="0" w:firstLine="0" w:firstLineChars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</w:t>
      </w:r>
    </w:p>
    <w:p>
      <w:pPr>
        <w:spacing w:after="0" w:line="240" w:lineRule="auto"/>
        <w:jc w:val="center"/>
        <w:rPr>
          <w:rFonts w:ascii="Arial" w:hAnsi="Arial" w:eastAsia="SimSun" w:cs="Arial"/>
          <w:sz w:val="24"/>
          <w:szCs w:val="24"/>
          <w:lang w:val="en-US" w:eastAsia="pt-BR"/>
        </w:rPr>
      </w:pPr>
      <w:r>
        <w:rPr>
          <w:rFonts w:ascii="Arial" w:hAnsi="Arial" w:eastAsia="SimSun" w:cs="Arial"/>
          <w:sz w:val="24"/>
          <w:szCs w:val="24"/>
          <w:lang w:val="en-US" w:eastAsia="pt-BR"/>
        </w:rPr>
        <w:t>Paulo Emílio Arnsholz</w:t>
      </w:r>
    </w:p>
    <w:p>
      <w:pPr>
        <w:spacing w:after="0" w:line="240" w:lineRule="auto"/>
        <w:jc w:val="center"/>
        <w:rPr>
          <w:rFonts w:ascii="Arial" w:hAnsi="Arial" w:eastAsia="SimSun" w:cs="Arial"/>
          <w:sz w:val="24"/>
          <w:szCs w:val="24"/>
          <w:lang w:val="en-US" w:eastAsia="pt-BR"/>
        </w:rPr>
      </w:pPr>
      <w:r>
        <w:rPr>
          <w:rFonts w:ascii="Arial" w:hAnsi="Arial" w:eastAsia="SimSun" w:cs="Arial"/>
          <w:sz w:val="24"/>
          <w:szCs w:val="24"/>
          <w:lang w:eastAsia="pt-BR"/>
        </w:rPr>
        <w:t xml:space="preserve">Secretário Municipal de Obras </w:t>
      </w:r>
      <w:r>
        <w:rPr>
          <w:rFonts w:ascii="Arial" w:hAnsi="Arial" w:eastAsia="SimSun" w:cs="Arial"/>
          <w:sz w:val="24"/>
          <w:szCs w:val="24"/>
          <w:lang w:val="en-US" w:eastAsia="pt-BR"/>
        </w:rPr>
        <w:t>e Infraestrutura</w:t>
      </w:r>
    </w:p>
    <w:sectPr>
      <w:headerReference r:id="rId5" w:type="default"/>
      <w:footerReference r:id="rId6" w:type="default"/>
      <w:pgSz w:w="11906" w:h="16838"/>
      <w:pgMar w:top="1417" w:right="1701" w:bottom="1417" w:left="1701" w:header="708" w:footer="70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Serif-Bold">
    <w:altName w:val="AMGD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Old English Text MT">
    <w:altName w:val="Mongolian Baiti"/>
    <w:panose1 w:val="03040902040508030806"/>
    <w:charset w:val="00"/>
    <w:family w:val="script"/>
    <w:pitch w:val="default"/>
    <w:sig w:usb0="00000000" w:usb1="00000000" w:usb2="00000000" w:usb3="00000000" w:csb0="200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s0lY7tAA&#10;AAAFAQAADwAAAAAAAAABACAAAAAiAAAAZHJzL2Rvd25yZXYueG1sUEsBAhQAFAAAAAgAh07iQGVy&#10;O6MnAgAAZgQAAA4AAAAAAAAAAQAgAAAAHwEAAGRycy9lMm9Eb2MueG1sUEsFBgAAAAAGAAYAWQEA&#10;ALg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Old English Text MT" w:hAnsi="Old English Text MT"/>
        <w:b/>
        <w:sz w:val="36"/>
        <w:szCs w:val="36"/>
      </w:rPr>
    </w:pPr>
    <w:r>
      <w:rPr>
        <w:rFonts w:ascii="Old English Text MT" w:hAnsi="Old English Text MT"/>
        <w:b/>
        <w:sz w:val="36"/>
        <w:szCs w:val="36"/>
      </w:rPr>
      <w:t>Prefeitura Municipal de Santa Maria de Jetibá</w:t>
    </w:r>
  </w:p>
  <w:p>
    <w:pPr>
      <w:pStyle w:val="6"/>
      <w:jc w:val="center"/>
      <w:rPr>
        <w:rFonts w:ascii="Old English Text MT" w:hAnsi="Old English Text MT"/>
        <w:b/>
        <w:sz w:val="36"/>
        <w:szCs w:val="36"/>
      </w:rPr>
    </w:pPr>
    <w:r>
      <w:rPr>
        <w:rFonts w:hint="default" w:ascii="Old English Text MT" w:hAnsi="Old English Text MT" w:cs="Old English Text MT"/>
        <w:b/>
        <w:bCs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-293370</wp:posOffset>
          </wp:positionH>
          <wp:positionV relativeFrom="paragraph">
            <wp:posOffset>-434975</wp:posOffset>
          </wp:positionV>
          <wp:extent cx="734695" cy="977900"/>
          <wp:effectExtent l="0" t="0" r="8255" b="12700"/>
          <wp:wrapSquare wrapText="bothSides"/>
          <wp:docPr id="2" name="Imagem 1026" descr="brasao du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026" descr="brasao dud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4695" cy="97790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ascii="Old English Text MT" w:hAnsi="Old English Text MT"/>
        <w:b/>
        <w:sz w:val="36"/>
        <w:szCs w:val="36"/>
      </w:rPr>
      <w:t>Estado do Espírito Santo</w:t>
    </w:r>
  </w:p>
  <w:p>
    <w:pPr>
      <w:pStyle w:val="6"/>
    </w:pPr>
  </w:p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112E73"/>
    <w:multiLevelType w:val="singleLevel"/>
    <w:tmpl w:val="E9112E73"/>
    <w:lvl w:ilvl="0" w:tentative="0">
      <w:start w:val="1"/>
      <w:numFmt w:val="lowerLetter"/>
      <w:suff w:val="space"/>
      <w:lvlText w:val="%1)"/>
      <w:lvlJc w:val="left"/>
    </w:lvl>
  </w:abstractNum>
  <w:abstractNum w:abstractNumId="1">
    <w:nsid w:val="52D21A59"/>
    <w:multiLevelType w:val="multilevel"/>
    <w:tmpl w:val="52D21A59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47C498"/>
    <w:multiLevelType w:val="singleLevel"/>
    <w:tmpl w:val="5947C49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7426B8CF"/>
    <w:multiLevelType w:val="singleLevel"/>
    <w:tmpl w:val="7426B8CF"/>
    <w:lvl w:ilvl="0" w:tentative="0">
      <w:start w:val="1"/>
      <w:numFmt w:val="lowerLetter"/>
      <w:suff w:val="space"/>
      <w:lvlText w:val="%1)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F5"/>
    <w:rsid w:val="00011D37"/>
    <w:rsid w:val="00074FF5"/>
    <w:rsid w:val="0007677C"/>
    <w:rsid w:val="000933F9"/>
    <w:rsid w:val="001018B0"/>
    <w:rsid w:val="00233B19"/>
    <w:rsid w:val="002348CB"/>
    <w:rsid w:val="002A1C04"/>
    <w:rsid w:val="00330C85"/>
    <w:rsid w:val="00344D50"/>
    <w:rsid w:val="0035634E"/>
    <w:rsid w:val="00370725"/>
    <w:rsid w:val="00403264"/>
    <w:rsid w:val="00427957"/>
    <w:rsid w:val="00452F56"/>
    <w:rsid w:val="004968BF"/>
    <w:rsid w:val="004C6E70"/>
    <w:rsid w:val="004D1286"/>
    <w:rsid w:val="004E60A7"/>
    <w:rsid w:val="00505E74"/>
    <w:rsid w:val="00535B79"/>
    <w:rsid w:val="00562FB9"/>
    <w:rsid w:val="00574330"/>
    <w:rsid w:val="0073505B"/>
    <w:rsid w:val="007848AB"/>
    <w:rsid w:val="00802B03"/>
    <w:rsid w:val="00884166"/>
    <w:rsid w:val="00884864"/>
    <w:rsid w:val="00984E5F"/>
    <w:rsid w:val="009F0E49"/>
    <w:rsid w:val="00A03A96"/>
    <w:rsid w:val="00A301D6"/>
    <w:rsid w:val="00A3289B"/>
    <w:rsid w:val="00A50181"/>
    <w:rsid w:val="00A949E4"/>
    <w:rsid w:val="00B244C3"/>
    <w:rsid w:val="00B702A2"/>
    <w:rsid w:val="00BB09AE"/>
    <w:rsid w:val="00BE2AFE"/>
    <w:rsid w:val="00BE6F41"/>
    <w:rsid w:val="00BF61F4"/>
    <w:rsid w:val="00C43C51"/>
    <w:rsid w:val="00C52C2B"/>
    <w:rsid w:val="00D15AD7"/>
    <w:rsid w:val="00D91B08"/>
    <w:rsid w:val="00DA695B"/>
    <w:rsid w:val="00E31870"/>
    <w:rsid w:val="00E606AA"/>
    <w:rsid w:val="00E77B2D"/>
    <w:rsid w:val="00EF714C"/>
    <w:rsid w:val="00F57A4B"/>
    <w:rsid w:val="00FE108D"/>
    <w:rsid w:val="02D81F30"/>
    <w:rsid w:val="03030CF9"/>
    <w:rsid w:val="043C1A87"/>
    <w:rsid w:val="044D14AF"/>
    <w:rsid w:val="063A3C14"/>
    <w:rsid w:val="073158D1"/>
    <w:rsid w:val="08712BB3"/>
    <w:rsid w:val="08BC0220"/>
    <w:rsid w:val="09CE7E7B"/>
    <w:rsid w:val="0A3922AD"/>
    <w:rsid w:val="0B25305C"/>
    <w:rsid w:val="0B6C3C06"/>
    <w:rsid w:val="0C3B4E67"/>
    <w:rsid w:val="0E26719B"/>
    <w:rsid w:val="1494499A"/>
    <w:rsid w:val="15322433"/>
    <w:rsid w:val="1549642C"/>
    <w:rsid w:val="166D4CA3"/>
    <w:rsid w:val="17FE5812"/>
    <w:rsid w:val="191B185D"/>
    <w:rsid w:val="1B0732C8"/>
    <w:rsid w:val="1CEE4A04"/>
    <w:rsid w:val="1D85481D"/>
    <w:rsid w:val="1E4550E8"/>
    <w:rsid w:val="1E570BB1"/>
    <w:rsid w:val="21273EB2"/>
    <w:rsid w:val="2283223E"/>
    <w:rsid w:val="24F56F1D"/>
    <w:rsid w:val="277C2B81"/>
    <w:rsid w:val="27E1054D"/>
    <w:rsid w:val="2AC97815"/>
    <w:rsid w:val="309000FC"/>
    <w:rsid w:val="33FA5D62"/>
    <w:rsid w:val="34442B85"/>
    <w:rsid w:val="350548AA"/>
    <w:rsid w:val="37920628"/>
    <w:rsid w:val="37D534A3"/>
    <w:rsid w:val="389270C4"/>
    <w:rsid w:val="391854AA"/>
    <w:rsid w:val="39C844F3"/>
    <w:rsid w:val="3A891D0F"/>
    <w:rsid w:val="3B0A141B"/>
    <w:rsid w:val="3C4C6285"/>
    <w:rsid w:val="3DBA6254"/>
    <w:rsid w:val="3E2C36B1"/>
    <w:rsid w:val="438E1DA6"/>
    <w:rsid w:val="448D1765"/>
    <w:rsid w:val="47E47368"/>
    <w:rsid w:val="488B20B4"/>
    <w:rsid w:val="49976737"/>
    <w:rsid w:val="4C237136"/>
    <w:rsid w:val="4DDE3FCE"/>
    <w:rsid w:val="4E297823"/>
    <w:rsid w:val="4E744E66"/>
    <w:rsid w:val="53212169"/>
    <w:rsid w:val="53703DE4"/>
    <w:rsid w:val="53E21FCA"/>
    <w:rsid w:val="56405C6A"/>
    <w:rsid w:val="57652639"/>
    <w:rsid w:val="5787077D"/>
    <w:rsid w:val="57C06767"/>
    <w:rsid w:val="5AC5569D"/>
    <w:rsid w:val="5CFD734D"/>
    <w:rsid w:val="5DF24EE4"/>
    <w:rsid w:val="601B4D29"/>
    <w:rsid w:val="608B3DD8"/>
    <w:rsid w:val="62F451D7"/>
    <w:rsid w:val="63592CD0"/>
    <w:rsid w:val="64214592"/>
    <w:rsid w:val="64532103"/>
    <w:rsid w:val="646041DA"/>
    <w:rsid w:val="65943B04"/>
    <w:rsid w:val="698F405A"/>
    <w:rsid w:val="6BBE10FB"/>
    <w:rsid w:val="6C053139"/>
    <w:rsid w:val="6DFF4199"/>
    <w:rsid w:val="70E80505"/>
    <w:rsid w:val="713031B0"/>
    <w:rsid w:val="726629A5"/>
    <w:rsid w:val="7491642B"/>
    <w:rsid w:val="76721F54"/>
    <w:rsid w:val="771928F9"/>
    <w:rsid w:val="78BF105B"/>
    <w:rsid w:val="7C436AB4"/>
    <w:rsid w:val="7D457A29"/>
    <w:rsid w:val="7EEF04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pt-BR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6">
    <w:name w:val="header"/>
    <w:basedOn w:val="1"/>
    <w:link w:val="12"/>
    <w:unhideWhenUsed/>
    <w:qFormat/>
    <w:uiPriority w:val="0"/>
    <w:pPr>
      <w:tabs>
        <w:tab w:val="center" w:pos="4252"/>
        <w:tab w:val="right" w:pos="8504"/>
      </w:tabs>
      <w:spacing w:after="0" w:line="240" w:lineRule="auto"/>
    </w:p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8">
    <w:name w:val="Balloon Text"/>
    <w:basedOn w:val="1"/>
    <w:link w:val="15"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9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List Paragraph"/>
    <w:basedOn w:val="1"/>
    <w:qFormat/>
    <w:uiPriority w:val="34"/>
    <w:pPr>
      <w:ind w:left="720"/>
      <w:contextualSpacing/>
    </w:pPr>
  </w:style>
  <w:style w:type="paragraph" w:customStyle="1" w:styleId="11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pt-BR" w:eastAsia="en-US" w:bidi="ar-SA"/>
    </w:rPr>
  </w:style>
  <w:style w:type="character" w:customStyle="1" w:styleId="12">
    <w:name w:val="Cabeçalho Char"/>
    <w:basedOn w:val="2"/>
    <w:link w:val="6"/>
    <w:qFormat/>
    <w:uiPriority w:val="99"/>
  </w:style>
  <w:style w:type="character" w:customStyle="1" w:styleId="13">
    <w:name w:val="Rodapé Char"/>
    <w:basedOn w:val="2"/>
    <w:link w:val="7"/>
    <w:qFormat/>
    <w:uiPriority w:val="99"/>
  </w:style>
  <w:style w:type="character" w:customStyle="1" w:styleId="14">
    <w:name w:val="apple-converted-space"/>
    <w:basedOn w:val="2"/>
    <w:qFormat/>
    <w:uiPriority w:val="0"/>
  </w:style>
  <w:style w:type="character" w:customStyle="1" w:styleId="15">
    <w:name w:val="Texto de balão Char"/>
    <w:basedOn w:val="2"/>
    <w:link w:val="8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16">
    <w:name w:val="Parágrafo da Lista1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751</Words>
  <Characters>4060</Characters>
  <Lines>33</Lines>
  <Paragraphs>9</Paragraphs>
  <TotalTime>1</TotalTime>
  <ScaleCrop>false</ScaleCrop>
  <LinksUpToDate>false</LinksUpToDate>
  <CharactersWithSpaces>4802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2016-07-15T13:19:00Z</dcterms:created>
  <dc:creator>Rosilania Acher</dc:creator>
  <cp:lastModifiedBy>edeilsonsoares</cp:lastModifiedBy>
  <cp:lastPrinted>2021-09-16T18:17:00Z</cp:lastPrinted>
  <dcterms:modified xsi:type="dcterms:W3CDTF">2022-06-23T16:25:38Z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1046-11.2.0.11042</vt:lpwstr>
  </property>
  <property fmtid="{D5CDD505-2E9C-101B-9397-08002B2CF9AE}" pid="3" name="ICV">
    <vt:lpwstr>D3E7AFE22B544A58988605C49DD5A583</vt:lpwstr>
  </property>
</Properties>
</file>